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eastAsia="zh-CN"/>
        </w:rPr>
        <w:t>附件</w:t>
      </w:r>
      <w:r>
        <w:rPr>
          <w:rFonts w:hint="eastAsia" w:ascii="黑体" w:hAnsi="黑体" w:eastAsia="黑体" w:cs="黑体"/>
          <w:bCs/>
          <w:color w:val="000000"/>
          <w:kern w:val="0"/>
          <w:sz w:val="32"/>
          <w:szCs w:val="32"/>
          <w:lang w:val="en-US" w:eastAsia="zh-CN"/>
        </w:rPr>
        <w:t>1</w:t>
      </w:r>
    </w:p>
    <w:p>
      <w:pPr>
        <w:spacing w:line="400" w:lineRule="exact"/>
        <w:jc w:val="center"/>
        <w:rPr>
          <w:rFonts w:eastAsia="方正小标宋简体"/>
          <w:bCs/>
          <w:color w:val="000000"/>
          <w:kern w:val="0"/>
          <w:sz w:val="36"/>
          <w:szCs w:val="36"/>
        </w:rPr>
      </w:pPr>
      <w:r>
        <w:rPr>
          <w:rFonts w:hint="eastAsia" w:ascii="方正小标宋简体" w:eastAsia="方正小标宋简体"/>
          <w:bCs/>
          <w:color w:val="000000"/>
          <w:kern w:val="0"/>
          <w:sz w:val="36"/>
          <w:szCs w:val="36"/>
        </w:rPr>
        <w:t>“嘉陵江英才工程”</w:t>
      </w:r>
      <w:r>
        <w:rPr>
          <w:rFonts w:hint="eastAsia" w:ascii="方正小标宋简体" w:hAnsi="方正小标宋简体" w:eastAsia="方正小标宋简体" w:cs="方正小标宋简体"/>
          <w:bCs/>
          <w:color w:val="000000"/>
          <w:kern w:val="0"/>
          <w:sz w:val="36"/>
          <w:szCs w:val="36"/>
        </w:rPr>
        <w:t>2022</w:t>
      </w:r>
      <w:r>
        <w:rPr>
          <w:rFonts w:eastAsia="方正小标宋简体"/>
          <w:bCs/>
          <w:color w:val="000000"/>
          <w:kern w:val="0"/>
          <w:sz w:val="36"/>
          <w:szCs w:val="36"/>
        </w:rPr>
        <w:t>年度引才需求信息表</w:t>
      </w:r>
    </w:p>
    <w:tbl>
      <w:tblPr>
        <w:tblStyle w:val="5"/>
        <w:tblW w:w="14860" w:type="dxa"/>
        <w:jc w:val="center"/>
        <w:tblLayout w:type="fixed"/>
        <w:tblCellMar>
          <w:top w:w="0" w:type="dxa"/>
          <w:left w:w="108" w:type="dxa"/>
          <w:bottom w:w="0" w:type="dxa"/>
          <w:right w:w="108" w:type="dxa"/>
        </w:tblCellMar>
      </w:tblPr>
      <w:tblGrid>
        <w:gridCol w:w="969"/>
        <w:gridCol w:w="1701"/>
        <w:gridCol w:w="1417"/>
        <w:gridCol w:w="1134"/>
        <w:gridCol w:w="1437"/>
        <w:gridCol w:w="15"/>
        <w:gridCol w:w="225"/>
        <w:gridCol w:w="1058"/>
        <w:gridCol w:w="413"/>
        <w:gridCol w:w="2068"/>
        <w:gridCol w:w="737"/>
        <w:gridCol w:w="113"/>
        <w:gridCol w:w="1276"/>
        <w:gridCol w:w="2297"/>
      </w:tblGrid>
      <w:tr>
        <w:tblPrEx>
          <w:tblCellMar>
            <w:top w:w="0" w:type="dxa"/>
            <w:left w:w="108" w:type="dxa"/>
            <w:bottom w:w="0" w:type="dxa"/>
            <w:right w:w="108" w:type="dxa"/>
          </w:tblCellMar>
        </w:tblPrEx>
        <w:trPr>
          <w:trHeight w:val="619" w:hRule="atLeas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名称</w:t>
            </w:r>
          </w:p>
        </w:tc>
        <w:tc>
          <w:tcPr>
            <w:tcW w:w="3118"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南充精神卫生中心</w:t>
            </w:r>
          </w:p>
        </w:tc>
        <w:tc>
          <w:tcPr>
            <w:tcW w:w="1134"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类别</w:t>
            </w:r>
          </w:p>
        </w:tc>
        <w:tc>
          <w:tcPr>
            <w:tcW w:w="1677"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事业单位</w:t>
            </w:r>
          </w:p>
        </w:tc>
        <w:tc>
          <w:tcPr>
            <w:tcW w:w="105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网址</w:t>
            </w:r>
          </w:p>
        </w:tc>
        <w:tc>
          <w:tcPr>
            <w:tcW w:w="2481"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spacing w:val="-10"/>
                <w:sz w:val="24"/>
              </w:rPr>
              <w:t>http://www.scsncjwzx.com</w:t>
            </w:r>
          </w:p>
        </w:tc>
        <w:tc>
          <w:tcPr>
            <w:tcW w:w="737"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邮政</w:t>
            </w:r>
            <w:r>
              <w:rPr>
                <w:rFonts w:eastAsia="方正黑体简体"/>
                <w:bCs/>
                <w:color w:val="000000"/>
                <w:kern w:val="0"/>
                <w:sz w:val="24"/>
              </w:rPr>
              <w:br w:type="textWrapping"/>
            </w:r>
            <w:r>
              <w:rPr>
                <w:rFonts w:eastAsia="方正黑体简体"/>
                <w:bCs/>
                <w:color w:val="000000"/>
                <w:kern w:val="0"/>
                <w:sz w:val="24"/>
              </w:rPr>
              <w:t>编码</w:t>
            </w:r>
          </w:p>
        </w:tc>
        <w:tc>
          <w:tcPr>
            <w:tcW w:w="368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637000</w:t>
            </w:r>
          </w:p>
        </w:tc>
      </w:tr>
      <w:tr>
        <w:tblPrEx>
          <w:tblCellMar>
            <w:top w:w="0" w:type="dxa"/>
            <w:left w:w="108" w:type="dxa"/>
            <w:bottom w:w="0" w:type="dxa"/>
            <w:right w:w="108" w:type="dxa"/>
          </w:tblCellMar>
        </w:tblPrEx>
        <w:trPr>
          <w:trHeight w:val="629" w:hRule="atLeast"/>
          <w:jc w:val="center"/>
        </w:trPr>
        <w:tc>
          <w:tcPr>
            <w:tcW w:w="969"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联系</w:t>
            </w:r>
          </w:p>
          <w:p>
            <w:pPr>
              <w:widowControl/>
              <w:spacing w:line="280" w:lineRule="exact"/>
              <w:jc w:val="center"/>
              <w:rPr>
                <w:rFonts w:eastAsia="方正黑体简体"/>
                <w:bCs/>
                <w:color w:val="000000"/>
                <w:kern w:val="0"/>
                <w:sz w:val="24"/>
              </w:rPr>
            </w:pPr>
            <w:r>
              <w:rPr>
                <w:rFonts w:eastAsia="方正黑体简体"/>
                <w:bCs/>
                <w:color w:val="000000"/>
                <w:kern w:val="0"/>
                <w:sz w:val="24"/>
              </w:rPr>
              <w:t>人</w:t>
            </w:r>
          </w:p>
        </w:tc>
        <w:tc>
          <w:tcPr>
            <w:tcW w:w="3118"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王</w:t>
            </w:r>
            <w:r>
              <w:rPr>
                <w:rFonts w:hint="eastAsia" w:eastAsia="方正仿宋简体"/>
                <w:bCs/>
                <w:color w:val="000000"/>
                <w:kern w:val="0"/>
                <w:sz w:val="24"/>
              </w:rPr>
              <w:t xml:space="preserve">  </w:t>
            </w:r>
            <w:r>
              <w:rPr>
                <w:rFonts w:eastAsia="方正仿宋简体"/>
                <w:bCs/>
                <w:color w:val="000000"/>
                <w:kern w:val="0"/>
                <w:sz w:val="24"/>
              </w:rPr>
              <w:t>涵</w:t>
            </w:r>
          </w:p>
        </w:tc>
        <w:tc>
          <w:tcPr>
            <w:tcW w:w="1134"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联系</w:t>
            </w:r>
          </w:p>
          <w:p>
            <w:pPr>
              <w:widowControl/>
              <w:spacing w:line="280" w:lineRule="exact"/>
              <w:jc w:val="center"/>
              <w:rPr>
                <w:rFonts w:eastAsia="方正黑体简体"/>
                <w:bCs/>
                <w:color w:val="000000"/>
                <w:kern w:val="0"/>
                <w:sz w:val="24"/>
              </w:rPr>
            </w:pPr>
            <w:r>
              <w:rPr>
                <w:rFonts w:eastAsia="方正黑体简体"/>
                <w:bCs/>
                <w:color w:val="000000"/>
                <w:kern w:val="0"/>
                <w:sz w:val="24"/>
              </w:rPr>
              <w:t>电话</w:t>
            </w:r>
          </w:p>
        </w:tc>
        <w:tc>
          <w:tcPr>
            <w:tcW w:w="1677"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0817-2318842</w:t>
            </w:r>
          </w:p>
        </w:tc>
        <w:tc>
          <w:tcPr>
            <w:tcW w:w="1058"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E-mail</w:t>
            </w:r>
          </w:p>
        </w:tc>
        <w:tc>
          <w:tcPr>
            <w:tcW w:w="2481"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bCs/>
                <w:color w:val="000000"/>
                <w:spacing w:val="-10"/>
                <w:sz w:val="24"/>
              </w:rPr>
              <w:t>scsncjswszx@163.com</w:t>
            </w:r>
          </w:p>
        </w:tc>
        <w:tc>
          <w:tcPr>
            <w:tcW w:w="737"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通讯</w:t>
            </w:r>
          </w:p>
          <w:p>
            <w:pPr>
              <w:widowControl/>
              <w:spacing w:line="280" w:lineRule="exact"/>
              <w:jc w:val="center"/>
              <w:rPr>
                <w:rFonts w:eastAsia="方正黑体简体"/>
                <w:bCs/>
                <w:color w:val="000000"/>
                <w:kern w:val="0"/>
                <w:sz w:val="24"/>
              </w:rPr>
            </w:pPr>
            <w:r>
              <w:rPr>
                <w:rFonts w:eastAsia="方正黑体简体"/>
                <w:bCs/>
                <w:color w:val="000000"/>
                <w:kern w:val="0"/>
                <w:sz w:val="24"/>
              </w:rPr>
              <w:t>地址</w:t>
            </w:r>
          </w:p>
        </w:tc>
        <w:tc>
          <w:tcPr>
            <w:tcW w:w="368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bCs/>
                <w:color w:val="000000"/>
                <w:kern w:val="0"/>
                <w:sz w:val="24"/>
              </w:rPr>
              <w:t>南充市顺庆区白土坝路55号</w:t>
            </w:r>
          </w:p>
        </w:tc>
      </w:tr>
      <w:tr>
        <w:tblPrEx>
          <w:tblCellMar>
            <w:top w:w="0" w:type="dxa"/>
            <w:left w:w="108" w:type="dxa"/>
            <w:bottom w:w="0" w:type="dxa"/>
            <w:right w:w="108" w:type="dxa"/>
          </w:tblCellMar>
        </w:tblPrEx>
        <w:trPr>
          <w:trHeight w:val="1099" w:hRule="atLeast"/>
          <w:jc w:val="center"/>
        </w:trPr>
        <w:tc>
          <w:tcPr>
            <w:tcW w:w="969"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简介</w:t>
            </w:r>
          </w:p>
        </w:tc>
        <w:tc>
          <w:tcPr>
            <w:tcW w:w="13891" w:type="dxa"/>
            <w:gridSpan w:val="1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480" w:firstLineChars="200"/>
              <w:rPr>
                <w:rFonts w:eastAsia="方正仿宋简体"/>
                <w:bCs/>
                <w:color w:val="000000"/>
                <w:kern w:val="0"/>
                <w:sz w:val="24"/>
              </w:rPr>
            </w:pPr>
            <w:r>
              <w:rPr>
                <w:rFonts w:eastAsia="方正仿宋简体"/>
                <w:bCs/>
                <w:color w:val="000000"/>
                <w:kern w:val="0"/>
                <w:sz w:val="24"/>
              </w:rPr>
              <w:t>南充精神卫生中心创建于1955年，是一所集医、防、教、研为一体的三级甲等精神病专科医院，四川省六大区域精神卫生中心之一，同时也是南充市精神病与精神卫生质量控制分中心、精神医学司法鉴定定点机构、区域心理卫生培训基地及川北医学院、南充卫校教学实习医院。核心服务人群达l000多万人，辐射服务人群达3700多万人。</w:t>
            </w:r>
          </w:p>
        </w:tc>
      </w:tr>
      <w:tr>
        <w:tblPrEx>
          <w:tblCellMar>
            <w:top w:w="0" w:type="dxa"/>
            <w:left w:w="108" w:type="dxa"/>
            <w:bottom w:w="0" w:type="dxa"/>
            <w:right w:w="108" w:type="dxa"/>
          </w:tblCellMar>
        </w:tblPrEx>
        <w:trPr>
          <w:trHeight w:val="669" w:hRule="exact"/>
          <w:jc w:val="center"/>
        </w:trPr>
        <w:tc>
          <w:tcPr>
            <w:tcW w:w="969"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序号</w:t>
            </w:r>
          </w:p>
        </w:tc>
        <w:tc>
          <w:tcPr>
            <w:tcW w:w="1701"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引进岗位</w:t>
            </w:r>
          </w:p>
        </w:tc>
        <w:tc>
          <w:tcPr>
            <w:tcW w:w="2551" w:type="dxa"/>
            <w:gridSpan w:val="2"/>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专业</w:t>
            </w:r>
          </w:p>
        </w:tc>
        <w:tc>
          <w:tcPr>
            <w:tcW w:w="1437"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职务职称</w:t>
            </w:r>
          </w:p>
          <w:p>
            <w:pPr>
              <w:widowControl/>
              <w:spacing w:line="280" w:lineRule="exact"/>
              <w:jc w:val="center"/>
              <w:rPr>
                <w:rFonts w:eastAsia="方正黑体简体"/>
                <w:bCs/>
                <w:color w:val="000000"/>
                <w:kern w:val="0"/>
                <w:sz w:val="24"/>
              </w:rPr>
            </w:pPr>
            <w:r>
              <w:rPr>
                <w:rFonts w:eastAsia="方正黑体简体"/>
                <w:bCs/>
                <w:color w:val="000000"/>
                <w:kern w:val="0"/>
                <w:sz w:val="24"/>
              </w:rPr>
              <w:t>要求</w:t>
            </w:r>
          </w:p>
        </w:tc>
        <w:tc>
          <w:tcPr>
            <w:tcW w:w="1711" w:type="dxa"/>
            <w:gridSpan w:val="4"/>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学历学位</w:t>
            </w:r>
          </w:p>
          <w:p>
            <w:pPr>
              <w:widowControl/>
              <w:spacing w:line="280" w:lineRule="exact"/>
              <w:jc w:val="center"/>
              <w:rPr>
                <w:rFonts w:eastAsia="方正黑体简体"/>
                <w:bCs/>
                <w:color w:val="000000"/>
                <w:kern w:val="0"/>
                <w:sz w:val="24"/>
              </w:rPr>
            </w:pPr>
            <w:r>
              <w:rPr>
                <w:rFonts w:eastAsia="方正黑体简体"/>
                <w:bCs/>
                <w:color w:val="000000"/>
                <w:kern w:val="0"/>
                <w:sz w:val="24"/>
              </w:rPr>
              <w:t>要求</w:t>
            </w:r>
          </w:p>
        </w:tc>
        <w:tc>
          <w:tcPr>
            <w:tcW w:w="2068"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其他要求</w:t>
            </w:r>
          </w:p>
        </w:tc>
        <w:tc>
          <w:tcPr>
            <w:tcW w:w="850" w:type="dxa"/>
            <w:gridSpan w:val="2"/>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需求</w:t>
            </w:r>
          </w:p>
          <w:p>
            <w:pPr>
              <w:widowControl/>
              <w:spacing w:line="280" w:lineRule="exact"/>
              <w:jc w:val="center"/>
              <w:rPr>
                <w:rFonts w:eastAsia="方正黑体简体"/>
                <w:bCs/>
                <w:color w:val="000000"/>
                <w:kern w:val="0"/>
                <w:sz w:val="24"/>
              </w:rPr>
            </w:pPr>
            <w:r>
              <w:rPr>
                <w:rFonts w:eastAsia="方正黑体简体"/>
                <w:bCs/>
                <w:color w:val="000000"/>
                <w:kern w:val="0"/>
                <w:sz w:val="24"/>
              </w:rPr>
              <w:t>人数</w:t>
            </w:r>
          </w:p>
        </w:tc>
        <w:tc>
          <w:tcPr>
            <w:tcW w:w="1276"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引进</w:t>
            </w:r>
          </w:p>
          <w:p>
            <w:pPr>
              <w:widowControl/>
              <w:spacing w:line="280" w:lineRule="exact"/>
              <w:jc w:val="center"/>
              <w:rPr>
                <w:rFonts w:eastAsia="方正黑体简体"/>
                <w:bCs/>
                <w:color w:val="000000"/>
                <w:kern w:val="0"/>
                <w:sz w:val="24"/>
              </w:rPr>
            </w:pPr>
            <w:r>
              <w:rPr>
                <w:rFonts w:eastAsia="方正黑体简体"/>
                <w:bCs/>
                <w:color w:val="000000"/>
                <w:kern w:val="0"/>
                <w:sz w:val="24"/>
              </w:rPr>
              <w:t>方式</w:t>
            </w:r>
          </w:p>
        </w:tc>
        <w:tc>
          <w:tcPr>
            <w:tcW w:w="2297"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提供薪酬、生活待遇</w:t>
            </w:r>
          </w:p>
          <w:p>
            <w:pPr>
              <w:widowControl/>
              <w:spacing w:line="280" w:lineRule="exact"/>
              <w:jc w:val="center"/>
              <w:rPr>
                <w:rFonts w:eastAsia="方正黑体简体"/>
                <w:bCs/>
                <w:color w:val="000000"/>
                <w:kern w:val="0"/>
                <w:sz w:val="24"/>
              </w:rPr>
            </w:pPr>
            <w:r>
              <w:rPr>
                <w:rFonts w:eastAsia="方正黑体简体"/>
                <w:bCs/>
                <w:color w:val="000000"/>
                <w:kern w:val="0"/>
                <w:sz w:val="24"/>
              </w:rPr>
              <w:t>或其他优惠条件</w:t>
            </w:r>
          </w:p>
        </w:tc>
      </w:tr>
      <w:tr>
        <w:tblPrEx>
          <w:tblCellMar>
            <w:top w:w="0" w:type="dxa"/>
            <w:left w:w="108" w:type="dxa"/>
            <w:bottom w:w="0" w:type="dxa"/>
            <w:right w:w="108" w:type="dxa"/>
          </w:tblCellMar>
        </w:tblPrEx>
        <w:trPr>
          <w:trHeight w:val="1132"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1701"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中西医</w:t>
            </w:r>
          </w:p>
          <w:p>
            <w:pPr>
              <w:widowControl/>
              <w:spacing w:line="280" w:lineRule="exact"/>
              <w:jc w:val="center"/>
              <w:rPr>
                <w:rFonts w:eastAsia="方正仿宋简体"/>
                <w:bCs/>
                <w:color w:val="000000"/>
                <w:kern w:val="0"/>
                <w:sz w:val="24"/>
              </w:rPr>
            </w:pPr>
            <w:r>
              <w:rPr>
                <w:rFonts w:eastAsia="方正仿宋简体"/>
                <w:bCs/>
                <w:color w:val="000000"/>
                <w:kern w:val="0"/>
                <w:sz w:val="24"/>
              </w:rPr>
              <w:t>结合医师</w:t>
            </w:r>
          </w:p>
        </w:tc>
        <w:tc>
          <w:tcPr>
            <w:tcW w:w="2551"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中西医结合临床</w:t>
            </w:r>
            <w:r>
              <w:rPr>
                <w:rFonts w:hint="eastAsia" w:eastAsia="方正仿宋简体"/>
                <w:bCs/>
                <w:color w:val="000000"/>
                <w:kern w:val="0"/>
                <w:sz w:val="24"/>
              </w:rPr>
              <w:t>、</w:t>
            </w:r>
            <w:r>
              <w:rPr>
                <w:rFonts w:eastAsia="方正仿宋简体"/>
                <w:bCs/>
                <w:color w:val="000000"/>
                <w:kern w:val="0"/>
                <w:sz w:val="24"/>
              </w:rPr>
              <w:t>中医内科学、中医、全科医学（中医，不授博士学位）</w:t>
            </w:r>
          </w:p>
        </w:tc>
        <w:tc>
          <w:tcPr>
            <w:tcW w:w="1437"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711" w:type="dxa"/>
            <w:gridSpan w:val="4"/>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2</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restart"/>
            <w:tcBorders>
              <w:top w:val="single" w:color="auto" w:sz="4" w:space="0"/>
              <w:left w:val="single" w:color="auto" w:sz="4" w:space="0"/>
              <w:right w:val="single" w:color="auto" w:sz="4" w:space="0"/>
            </w:tcBorders>
            <w:noWrap w:val="0"/>
            <w:tcMar>
              <w:top w:w="57" w:type="dxa"/>
              <w:bottom w:w="57" w:type="dxa"/>
            </w:tcMar>
            <w:vAlign w:val="center"/>
          </w:tcPr>
          <w:p>
            <w:pPr>
              <w:widowControl/>
              <w:spacing w:line="280" w:lineRule="exact"/>
              <w:rPr>
                <w:rFonts w:hint="eastAsia" w:ascii="方正仿宋简体" w:eastAsia="方正仿宋简体"/>
                <w:bCs/>
                <w:color w:val="000000"/>
                <w:kern w:val="0"/>
                <w:sz w:val="24"/>
              </w:rPr>
            </w:pPr>
            <w:r>
              <w:rPr>
                <w:rFonts w:hint="eastAsia" w:ascii="方正仿宋简体" w:eastAsia="方正仿宋简体"/>
                <w:bCs/>
                <w:color w:val="000000"/>
                <w:kern w:val="0"/>
                <w:sz w:val="24"/>
              </w:rPr>
              <w:t>按“嘉陵江英才工程”规定资格条件享受相关待遇，医院另按医院规定给予一次性补助。</w:t>
            </w:r>
          </w:p>
        </w:tc>
      </w:tr>
      <w:tr>
        <w:tblPrEx>
          <w:tblCellMar>
            <w:top w:w="0" w:type="dxa"/>
            <w:left w:w="108" w:type="dxa"/>
            <w:bottom w:w="0" w:type="dxa"/>
            <w:right w:w="108" w:type="dxa"/>
          </w:tblCellMar>
        </w:tblPrEx>
        <w:trPr>
          <w:trHeight w:val="1032"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2</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普外科医师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外科学</w:t>
            </w:r>
          </w:p>
        </w:tc>
        <w:tc>
          <w:tcPr>
            <w:tcW w:w="1437"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711" w:type="dxa"/>
            <w:gridSpan w:val="4"/>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CellMar>
            <w:top w:w="0" w:type="dxa"/>
            <w:left w:w="108" w:type="dxa"/>
            <w:bottom w:w="0" w:type="dxa"/>
            <w:right w:w="108" w:type="dxa"/>
          </w:tblCellMar>
        </w:tblPrEx>
        <w:trPr>
          <w:trHeight w:val="1060"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3</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精神科医师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精神病与精神卫生学</w:t>
            </w:r>
          </w:p>
        </w:tc>
        <w:tc>
          <w:tcPr>
            <w:tcW w:w="1437"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711" w:type="dxa"/>
            <w:gridSpan w:val="4"/>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2</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CellMar>
            <w:top w:w="0" w:type="dxa"/>
            <w:left w:w="108" w:type="dxa"/>
            <w:bottom w:w="0" w:type="dxa"/>
            <w:right w:w="108" w:type="dxa"/>
          </w:tblCellMar>
        </w:tblPrEx>
        <w:trPr>
          <w:trHeight w:val="1066"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4</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心内科医师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内科学</w:t>
            </w:r>
          </w:p>
        </w:tc>
        <w:tc>
          <w:tcPr>
            <w:tcW w:w="1437"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711" w:type="dxa"/>
            <w:gridSpan w:val="4"/>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2</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restart"/>
            <w:tcBorders>
              <w:top w:val="single" w:color="auto" w:sz="4" w:space="0"/>
              <w:left w:val="single" w:color="auto" w:sz="4" w:space="0"/>
              <w:right w:val="single" w:color="auto" w:sz="4" w:space="0"/>
            </w:tcBorders>
            <w:noWrap w:val="0"/>
            <w:tcMar>
              <w:top w:w="57" w:type="dxa"/>
              <w:bottom w:w="57" w:type="dxa"/>
            </w:tcMar>
            <w:vAlign w:val="center"/>
          </w:tcPr>
          <w:p>
            <w:pPr>
              <w:widowControl/>
              <w:spacing w:line="280" w:lineRule="exact"/>
              <w:jc w:val="left"/>
              <w:rPr>
                <w:rFonts w:hint="eastAsia" w:ascii="方正仿宋简体" w:eastAsia="方正仿宋简体"/>
                <w:bCs/>
                <w:color w:val="000000"/>
                <w:kern w:val="0"/>
                <w:sz w:val="24"/>
              </w:rPr>
            </w:pPr>
            <w:r>
              <w:rPr>
                <w:rFonts w:hint="eastAsia" w:ascii="方正仿宋简体" w:eastAsia="方正仿宋简体"/>
                <w:bCs/>
                <w:color w:val="000000"/>
                <w:kern w:val="0"/>
                <w:sz w:val="24"/>
              </w:rPr>
              <w:t>按“嘉陵江英才工程”规定资格条件享受相关待遇，医院另按医院规定给予一次性补助</w:t>
            </w:r>
          </w:p>
        </w:tc>
      </w:tr>
      <w:tr>
        <w:tblPrEx>
          <w:tblCellMar>
            <w:top w:w="0" w:type="dxa"/>
            <w:left w:w="108" w:type="dxa"/>
            <w:bottom w:w="0" w:type="dxa"/>
            <w:right w:w="108" w:type="dxa"/>
          </w:tblCellMar>
        </w:tblPrEx>
        <w:trPr>
          <w:trHeight w:val="917"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5</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心理治疗医师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应用心理</w:t>
            </w:r>
          </w:p>
        </w:tc>
        <w:tc>
          <w:tcPr>
            <w:tcW w:w="1437"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711" w:type="dxa"/>
            <w:gridSpan w:val="4"/>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CellMar>
            <w:top w:w="0" w:type="dxa"/>
            <w:left w:w="108" w:type="dxa"/>
            <w:bottom w:w="0" w:type="dxa"/>
            <w:right w:w="108" w:type="dxa"/>
          </w:tblCellMar>
        </w:tblPrEx>
        <w:trPr>
          <w:trHeight w:val="1023"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6</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中医医师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针灸推拿学</w:t>
            </w:r>
          </w:p>
        </w:tc>
        <w:tc>
          <w:tcPr>
            <w:tcW w:w="145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69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left"/>
              <w:rPr>
                <w:rFonts w:eastAsia="方正仿宋简体"/>
                <w:bCs/>
                <w:color w:val="000000"/>
                <w:kern w:val="0"/>
                <w:sz w:val="24"/>
              </w:rPr>
            </w:pPr>
          </w:p>
        </w:tc>
      </w:tr>
      <w:tr>
        <w:tblPrEx>
          <w:tblCellMar>
            <w:top w:w="0" w:type="dxa"/>
            <w:left w:w="108" w:type="dxa"/>
            <w:bottom w:w="0" w:type="dxa"/>
            <w:right w:w="108" w:type="dxa"/>
          </w:tblCellMar>
        </w:tblPrEx>
        <w:trPr>
          <w:trHeight w:val="965"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7</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康复医师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康复医学与理疗学</w:t>
            </w:r>
          </w:p>
        </w:tc>
        <w:tc>
          <w:tcPr>
            <w:tcW w:w="145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69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CellMar>
            <w:top w:w="0" w:type="dxa"/>
            <w:left w:w="108" w:type="dxa"/>
            <w:bottom w:w="0" w:type="dxa"/>
            <w:right w:w="108" w:type="dxa"/>
          </w:tblCellMar>
        </w:tblPrEx>
        <w:trPr>
          <w:trHeight w:val="946"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8</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神经内科医师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神经病学</w:t>
            </w:r>
          </w:p>
        </w:tc>
        <w:tc>
          <w:tcPr>
            <w:tcW w:w="145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69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3</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CellMar>
            <w:top w:w="0" w:type="dxa"/>
            <w:left w:w="108" w:type="dxa"/>
            <w:bottom w:w="0" w:type="dxa"/>
            <w:right w:w="108" w:type="dxa"/>
          </w:tblCellMar>
        </w:tblPrEx>
        <w:trPr>
          <w:trHeight w:val="2065"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9</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老年病科医师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老年医学</w:t>
            </w:r>
            <w:r>
              <w:rPr>
                <w:rFonts w:hint="eastAsia" w:eastAsia="方正仿宋简体"/>
                <w:bCs/>
                <w:color w:val="000000"/>
                <w:kern w:val="0"/>
                <w:sz w:val="24"/>
              </w:rPr>
              <w:t>、临床医学</w:t>
            </w:r>
          </w:p>
        </w:tc>
        <w:tc>
          <w:tcPr>
            <w:tcW w:w="145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69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r>
              <w:rPr>
                <w:rFonts w:hint="eastAsia" w:eastAsia="方正仿宋简体"/>
                <w:color w:val="000000"/>
                <w:kern w:val="0"/>
                <w:sz w:val="24"/>
              </w:rPr>
              <w:t>；若具备副高及以上职称，学历学位要求可放宽至全日制本科，年龄放宽至不超过45周岁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3</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CellMar>
            <w:top w:w="0" w:type="dxa"/>
            <w:left w:w="108" w:type="dxa"/>
            <w:bottom w:w="0" w:type="dxa"/>
            <w:right w:w="108" w:type="dxa"/>
          </w:tblCellMar>
        </w:tblPrEx>
        <w:trPr>
          <w:trHeight w:val="1020"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10</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影像科医师</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放射影像学</w:t>
            </w:r>
          </w:p>
        </w:tc>
        <w:tc>
          <w:tcPr>
            <w:tcW w:w="145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69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2</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restart"/>
            <w:tcBorders>
              <w:top w:val="single" w:color="auto" w:sz="4" w:space="0"/>
              <w:left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hint="eastAsia" w:ascii="方正仿宋简体" w:eastAsia="方正仿宋简体"/>
                <w:bCs/>
                <w:color w:val="000000"/>
                <w:kern w:val="0"/>
                <w:sz w:val="24"/>
              </w:rPr>
              <w:t>按“嘉陵江英才工程”规定资格条件享受相关待遇，医院另按医院规定给予一次性补助</w:t>
            </w:r>
          </w:p>
        </w:tc>
      </w:tr>
      <w:tr>
        <w:tblPrEx>
          <w:tblCellMar>
            <w:top w:w="0" w:type="dxa"/>
            <w:left w:w="108" w:type="dxa"/>
            <w:bottom w:w="0" w:type="dxa"/>
            <w:right w:w="108" w:type="dxa"/>
          </w:tblCellMar>
        </w:tblPrEx>
        <w:trPr>
          <w:trHeight w:val="1178" w:hRule="exact"/>
          <w:jc w:val="center"/>
        </w:trPr>
        <w:tc>
          <w:tcPr>
            <w:tcW w:w="96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11</w:t>
            </w:r>
          </w:p>
        </w:tc>
        <w:tc>
          <w:tcPr>
            <w:tcW w:w="170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财务管理</w:t>
            </w:r>
          </w:p>
        </w:tc>
        <w:tc>
          <w:tcPr>
            <w:tcW w:w="2551"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金融、应用统计、资产评估、审计</w:t>
            </w:r>
          </w:p>
        </w:tc>
        <w:tc>
          <w:tcPr>
            <w:tcW w:w="145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696"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0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p>
        </w:tc>
        <w:tc>
          <w:tcPr>
            <w:tcW w:w="850"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297"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eastAsia="方正仿宋简体"/>
                <w:bCs/>
                <w:color w:val="000000"/>
                <w:kern w:val="0"/>
                <w:sz w:val="24"/>
              </w:rPr>
            </w:pPr>
          </w:p>
        </w:tc>
      </w:tr>
    </w:tbl>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6838" w:h="11906" w:orient="landscape"/>
          <w:pgMar w:top="1803" w:right="1440" w:bottom="1803" w:left="1440" w:header="851" w:footer="992" w:gutter="0"/>
          <w:pgNumType w:fmt="numberInDash"/>
          <w:cols w:space="720" w:num="1"/>
          <w:rtlGutter w:val="0"/>
          <w:docGrid w:type="lines" w:linePitch="319" w:charSpace="0"/>
        </w:sectPr>
      </w:pPr>
    </w:p>
    <w:p>
      <w:pPr>
        <w:pStyle w:val="2"/>
        <w:spacing w:line="560" w:lineRule="exact"/>
        <w:jc w:val="left"/>
        <w:rPr>
          <w:rFonts w:hint="default" w:ascii="Times New Roman" w:hAnsi="Times New Roman" w:eastAsia="黑体" w:cs="Times New Roman"/>
          <w:b/>
          <w:bCs/>
          <w:color w:val="auto"/>
          <w:kern w:val="0"/>
        </w:rPr>
      </w:pPr>
      <w:r>
        <w:rPr>
          <w:rFonts w:hint="eastAsia" w:ascii="黑体" w:hAnsi="黑体" w:eastAsia="黑体" w:cs="黑体"/>
          <w:b/>
          <w:bCs/>
          <w:color w:val="auto"/>
          <w:kern w:val="0"/>
          <w:sz w:val="32"/>
          <w:szCs w:val="32"/>
        </w:rPr>
        <w:t>附</w:t>
      </w:r>
      <w:r>
        <w:rPr>
          <w:rFonts w:hint="eastAsia" w:ascii="黑体" w:hAnsi="黑体" w:eastAsia="黑体" w:cs="黑体"/>
          <w:b/>
          <w:bCs/>
          <w:color w:val="auto"/>
          <w:kern w:val="0"/>
          <w:sz w:val="32"/>
          <w:szCs w:val="32"/>
          <w:lang w:eastAsia="zh-CN"/>
        </w:rPr>
        <w:t>件</w:t>
      </w:r>
      <w:r>
        <w:rPr>
          <w:rFonts w:hint="eastAsia" w:ascii="黑体" w:hAnsi="黑体" w:eastAsia="黑体" w:cs="黑体"/>
          <w:b/>
          <w:bCs/>
          <w:color w:val="auto"/>
          <w:kern w:val="0"/>
          <w:sz w:val="32"/>
          <w:szCs w:val="32"/>
        </w:rPr>
        <w:t>2</w:t>
      </w:r>
    </w:p>
    <w:p>
      <w:pPr>
        <w:spacing w:line="600" w:lineRule="exact"/>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w w:val="96"/>
          <w:sz w:val="44"/>
          <w:szCs w:val="44"/>
        </w:rPr>
        <w:t>南充市2022年度引进高层次人才报名表</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6"/>
        <w:gridCol w:w="1026"/>
        <w:gridCol w:w="838"/>
        <w:gridCol w:w="189"/>
        <w:gridCol w:w="412"/>
        <w:gridCol w:w="422"/>
        <w:gridCol w:w="322"/>
        <w:gridCol w:w="1404"/>
        <w:gridCol w:w="853"/>
        <w:gridCol w:w="56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姓 名</w:t>
            </w:r>
          </w:p>
        </w:tc>
        <w:tc>
          <w:tcPr>
            <w:tcW w:w="1026" w:type="dxa"/>
            <w:noWrap w:val="0"/>
            <w:vAlign w:val="center"/>
          </w:tcPr>
          <w:p>
            <w:pPr>
              <w:spacing w:line="300" w:lineRule="exact"/>
              <w:jc w:val="center"/>
              <w:rPr>
                <w:rFonts w:hint="default" w:ascii="Times New Roman" w:hAnsi="Times New Roman" w:eastAsia="仿宋_GB2312" w:cs="Times New Roman"/>
                <w:b/>
                <w:color w:val="auto"/>
                <w:szCs w:val="21"/>
              </w:rPr>
            </w:pPr>
          </w:p>
        </w:tc>
        <w:tc>
          <w:tcPr>
            <w:tcW w:w="1027" w:type="dxa"/>
            <w:gridSpan w:val="2"/>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性 别</w:t>
            </w:r>
          </w:p>
        </w:tc>
        <w:tc>
          <w:tcPr>
            <w:tcW w:w="1156" w:type="dxa"/>
            <w:gridSpan w:val="3"/>
            <w:noWrap w:val="0"/>
            <w:vAlign w:val="center"/>
          </w:tcPr>
          <w:p>
            <w:pPr>
              <w:spacing w:line="300" w:lineRule="exact"/>
              <w:jc w:val="center"/>
              <w:rPr>
                <w:rFonts w:hint="default" w:ascii="Times New Roman" w:hAnsi="Times New Roman" w:eastAsia="仿宋_GB2312" w:cs="Times New Roman"/>
                <w:b/>
                <w:color w:val="auto"/>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出 生</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 月</w:t>
            </w:r>
          </w:p>
        </w:tc>
        <w:tc>
          <w:tcPr>
            <w:tcW w:w="1420"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560" w:type="dxa"/>
            <w:vMerge w:val="restart"/>
            <w:noWrap w:val="0"/>
            <w:vAlign w:val="center"/>
          </w:tcPr>
          <w:p>
            <w:pPr>
              <w:spacing w:line="320" w:lineRule="exact"/>
              <w:jc w:val="center"/>
              <w:rPr>
                <w:rFonts w:hint="default" w:ascii="Times New Roman" w:hAnsi="Times New Roman" w:eastAsia="仿宋_GB2312" w:cs="Times New Roman"/>
                <w:b/>
                <w:color w:val="auto"/>
                <w:szCs w:val="21"/>
              </w:rPr>
            </w:pPr>
            <w:r>
              <w:rPr>
                <w:rFonts w:hint="default" w:ascii="Times New Roman" w:hAnsi="Times New Roman" w:eastAsia="仿宋_GB2312" w:cs="Times New Roman"/>
                <w:b/>
                <w:color w:val="auto"/>
                <w:kern w:val="0"/>
                <w:szCs w:val="21"/>
              </w:rPr>
              <w:t>照 片</w:t>
            </w:r>
          </w:p>
          <w:p>
            <w:pPr>
              <w:spacing w:line="320" w:lineRule="exact"/>
              <w:jc w:val="center"/>
              <w:rPr>
                <w:rFonts w:hint="default" w:ascii="Times New Roman" w:hAnsi="Times New Roman" w:eastAsia="仿宋_GB2312" w:cs="Times New Roman"/>
                <w:color w:val="auto"/>
                <w:kern w:val="0"/>
                <w:sz w:val="13"/>
                <w:szCs w:val="13"/>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 w:val="13"/>
                <w:szCs w:val="13"/>
              </w:rPr>
              <w:t>2寸彩色免冠</w:t>
            </w:r>
            <w:r>
              <w:rPr>
                <w:rFonts w:hint="default" w:ascii="Times New Roman" w:hAnsi="Times New Roman" w:eastAsia="仿宋_GB2312" w:cs="Times New Roman"/>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民 族</w:t>
            </w:r>
          </w:p>
        </w:tc>
        <w:tc>
          <w:tcPr>
            <w:tcW w:w="1026" w:type="dxa"/>
            <w:noWrap w:val="0"/>
            <w:vAlign w:val="center"/>
          </w:tcPr>
          <w:p>
            <w:pPr>
              <w:spacing w:line="300" w:lineRule="exact"/>
              <w:jc w:val="center"/>
              <w:rPr>
                <w:rFonts w:hint="default" w:ascii="Times New Roman" w:hAnsi="Times New Roman" w:eastAsia="仿宋_GB2312" w:cs="Times New Roman"/>
                <w:b/>
                <w:color w:val="auto"/>
                <w:szCs w:val="21"/>
              </w:rPr>
            </w:pPr>
          </w:p>
        </w:tc>
        <w:tc>
          <w:tcPr>
            <w:tcW w:w="1027" w:type="dxa"/>
            <w:gridSpan w:val="2"/>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籍 贯</w:t>
            </w:r>
          </w:p>
        </w:tc>
        <w:tc>
          <w:tcPr>
            <w:tcW w:w="1156" w:type="dxa"/>
            <w:gridSpan w:val="3"/>
            <w:noWrap w:val="0"/>
            <w:vAlign w:val="center"/>
          </w:tcPr>
          <w:p>
            <w:pPr>
              <w:spacing w:line="300" w:lineRule="exact"/>
              <w:jc w:val="center"/>
              <w:rPr>
                <w:rFonts w:hint="default" w:ascii="Times New Roman" w:hAnsi="Times New Roman" w:eastAsia="仿宋_GB2312" w:cs="Times New Roman"/>
                <w:b/>
                <w:color w:val="auto"/>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健 康</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状 况</w:t>
            </w:r>
          </w:p>
        </w:tc>
        <w:tc>
          <w:tcPr>
            <w:tcW w:w="1420"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560" w:type="dxa"/>
            <w:vMerge w:val="continue"/>
            <w:noWrap w:val="0"/>
            <w:vAlign w:val="center"/>
          </w:tcPr>
          <w:p>
            <w:pPr>
              <w:spacing w:line="320" w:lineRule="exact"/>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入 党</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时 间</w:t>
            </w:r>
          </w:p>
        </w:tc>
        <w:tc>
          <w:tcPr>
            <w:tcW w:w="1026" w:type="dxa"/>
            <w:noWrap w:val="0"/>
            <w:vAlign w:val="center"/>
          </w:tcPr>
          <w:p>
            <w:pPr>
              <w:spacing w:line="300" w:lineRule="exact"/>
              <w:jc w:val="center"/>
              <w:rPr>
                <w:rFonts w:hint="default" w:ascii="Times New Roman" w:hAnsi="Times New Roman" w:eastAsia="仿宋_GB2312" w:cs="Times New Roman"/>
                <w:b/>
                <w:color w:val="auto"/>
                <w:szCs w:val="21"/>
              </w:rPr>
            </w:pPr>
          </w:p>
        </w:tc>
        <w:tc>
          <w:tcPr>
            <w:tcW w:w="1027" w:type="dxa"/>
            <w:gridSpan w:val="2"/>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参 工</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时 间</w:t>
            </w:r>
          </w:p>
        </w:tc>
        <w:tc>
          <w:tcPr>
            <w:tcW w:w="1156" w:type="dxa"/>
            <w:gridSpan w:val="3"/>
            <w:noWrap w:val="0"/>
            <w:vAlign w:val="center"/>
          </w:tcPr>
          <w:p>
            <w:pPr>
              <w:spacing w:line="300" w:lineRule="exact"/>
              <w:jc w:val="center"/>
              <w:rPr>
                <w:rFonts w:hint="default" w:ascii="Times New Roman" w:hAnsi="Times New Roman" w:eastAsia="仿宋_GB2312" w:cs="Times New Roman"/>
                <w:b/>
                <w:color w:val="auto"/>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专业技</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术职务</w:t>
            </w:r>
          </w:p>
        </w:tc>
        <w:tc>
          <w:tcPr>
            <w:tcW w:w="1420"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560" w:type="dxa"/>
            <w:vMerge w:val="continue"/>
            <w:noWrap w:val="0"/>
            <w:vAlign w:val="center"/>
          </w:tcPr>
          <w:p>
            <w:pPr>
              <w:spacing w:line="320" w:lineRule="exact"/>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restart"/>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学 历</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学 位</w:t>
            </w:r>
          </w:p>
        </w:tc>
        <w:tc>
          <w:tcPr>
            <w:tcW w:w="102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全日制</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教 育</w:t>
            </w:r>
          </w:p>
        </w:tc>
        <w:tc>
          <w:tcPr>
            <w:tcW w:w="2183" w:type="dxa"/>
            <w:gridSpan w:val="5"/>
            <w:noWrap w:val="0"/>
            <w:vAlign w:val="center"/>
          </w:tcPr>
          <w:p>
            <w:pPr>
              <w:spacing w:line="30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毕业院校</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系及专业</w:t>
            </w: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continue"/>
            <w:noWrap w:val="0"/>
            <w:vAlign w:val="center"/>
          </w:tcPr>
          <w:p>
            <w:pPr>
              <w:spacing w:line="300" w:lineRule="exact"/>
              <w:jc w:val="center"/>
              <w:rPr>
                <w:rFonts w:hint="default" w:ascii="Times New Roman" w:hAnsi="Times New Roman" w:eastAsia="仿宋_GB2312" w:cs="Times New Roman"/>
                <w:b/>
                <w:color w:val="auto"/>
                <w:kern w:val="0"/>
                <w:szCs w:val="21"/>
              </w:rPr>
            </w:pPr>
          </w:p>
        </w:tc>
        <w:tc>
          <w:tcPr>
            <w:tcW w:w="102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在 职</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教 育</w:t>
            </w:r>
          </w:p>
        </w:tc>
        <w:tc>
          <w:tcPr>
            <w:tcW w:w="2183" w:type="dxa"/>
            <w:gridSpan w:val="5"/>
            <w:noWrap w:val="0"/>
            <w:vAlign w:val="center"/>
          </w:tcPr>
          <w:p>
            <w:pPr>
              <w:spacing w:line="30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毕业院校</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系及专业</w:t>
            </w: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身份证号</w:t>
            </w:r>
          </w:p>
        </w:tc>
        <w:tc>
          <w:tcPr>
            <w:tcW w:w="2053"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联系</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电话</w:t>
            </w:r>
          </w:p>
        </w:tc>
        <w:tc>
          <w:tcPr>
            <w:tcW w:w="1726"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53"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电子</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邮箱</w:t>
            </w:r>
          </w:p>
        </w:tc>
        <w:tc>
          <w:tcPr>
            <w:tcW w:w="2127"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现工作</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单位</w:t>
            </w:r>
          </w:p>
        </w:tc>
        <w:tc>
          <w:tcPr>
            <w:tcW w:w="7593" w:type="dxa"/>
            <w:gridSpan w:val="10"/>
            <w:noWrap w:val="0"/>
            <w:vAlign w:val="center"/>
          </w:tcPr>
          <w:p>
            <w:pPr>
              <w:spacing w:line="320" w:lineRule="exact"/>
              <w:jc w:val="center"/>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报考单位</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及岗位</w:t>
            </w:r>
          </w:p>
        </w:tc>
        <w:tc>
          <w:tcPr>
            <w:tcW w:w="7593" w:type="dxa"/>
            <w:gridSpan w:val="10"/>
            <w:noWrap w:val="0"/>
            <w:vAlign w:val="center"/>
          </w:tcPr>
          <w:p>
            <w:pPr>
              <w:spacing w:line="320" w:lineRule="exact"/>
              <w:jc w:val="center"/>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1" w:hRule="atLeas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简</w:t>
            </w:r>
          </w:p>
          <w:p>
            <w:pPr>
              <w:pStyle w:val="3"/>
              <w:rPr>
                <w:rFonts w:hint="default" w:ascii="Times New Roman" w:hAnsi="Times New Roman" w:eastAsia="仿宋_GB2312" w:cs="Times New Roman"/>
                <w:b/>
                <w:color w:val="auto"/>
                <w:kern w:val="0"/>
                <w:sz w:val="21"/>
                <w:szCs w:val="21"/>
              </w:rPr>
            </w:pP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历</w:t>
            </w:r>
          </w:p>
        </w:tc>
        <w:tc>
          <w:tcPr>
            <w:tcW w:w="7593" w:type="dxa"/>
            <w:gridSpan w:val="10"/>
            <w:noWrap w:val="0"/>
            <w:vAlign w:val="center"/>
          </w:tcPr>
          <w:p>
            <w:pPr>
              <w:spacing w:line="320" w:lineRule="exact"/>
              <w:rPr>
                <w:rFonts w:hint="default" w:ascii="Times New Roman" w:hAnsi="Times New Roman" w:eastAsia="仿宋_GB2312" w:cs="Times New Roman"/>
                <w:b/>
                <w:i/>
                <w:color w:val="auto"/>
                <w:szCs w:val="21"/>
              </w:rPr>
            </w:pPr>
            <w:r>
              <w:rPr>
                <w:rFonts w:hint="default" w:ascii="Times New Roman" w:hAnsi="Times New Roman" w:eastAsia="仿宋_GB2312" w:cs="Times New Roman"/>
                <w:b/>
                <w:i w:val="0"/>
                <w:iCs/>
                <w:color w:val="auto"/>
                <w:szCs w:val="21"/>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奖惩</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情况</w:t>
            </w:r>
          </w:p>
        </w:tc>
        <w:tc>
          <w:tcPr>
            <w:tcW w:w="7593" w:type="dxa"/>
            <w:gridSpan w:val="10"/>
            <w:noWrap w:val="0"/>
            <w:vAlign w:val="center"/>
          </w:tcPr>
          <w:p>
            <w:pPr>
              <w:spacing w:line="320" w:lineRule="exact"/>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1406" w:type="dxa"/>
            <w:vMerge w:val="restart"/>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家庭主要</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成员及重</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要社会</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关系</w:t>
            </w:r>
          </w:p>
        </w:tc>
        <w:tc>
          <w:tcPr>
            <w:tcW w:w="1026" w:type="dxa"/>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称谓</w:t>
            </w:r>
          </w:p>
        </w:tc>
        <w:tc>
          <w:tcPr>
            <w:tcW w:w="838" w:type="dxa"/>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姓名</w:t>
            </w:r>
          </w:p>
        </w:tc>
        <w:tc>
          <w:tcPr>
            <w:tcW w:w="601" w:type="dxa"/>
            <w:gridSpan w:val="2"/>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w:t>
            </w:r>
          </w:p>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龄</w:t>
            </w:r>
          </w:p>
        </w:tc>
        <w:tc>
          <w:tcPr>
            <w:tcW w:w="744" w:type="dxa"/>
            <w:gridSpan w:val="2"/>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政治</w:t>
            </w:r>
          </w:p>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面貌</w:t>
            </w:r>
          </w:p>
        </w:tc>
        <w:tc>
          <w:tcPr>
            <w:tcW w:w="1404" w:type="dxa"/>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是否有</w:t>
            </w:r>
          </w:p>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回避关系</w:t>
            </w:r>
          </w:p>
        </w:tc>
        <w:tc>
          <w:tcPr>
            <w:tcW w:w="2980" w:type="dxa"/>
            <w:gridSpan w:val="3"/>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noWrap w:val="0"/>
            <w:vAlign w:val="center"/>
          </w:tcPr>
          <w:p>
            <w:pPr>
              <w:spacing w:line="360" w:lineRule="exact"/>
              <w:rPr>
                <w:rFonts w:hint="default" w:ascii="Times New Roman" w:hAnsi="Times New Roman" w:eastAsia="仿宋_GB2312" w:cs="Times New Roman"/>
                <w:b/>
                <w:color w:val="auto"/>
                <w:szCs w:val="21"/>
              </w:rPr>
            </w:pPr>
          </w:p>
        </w:tc>
        <w:tc>
          <w:tcPr>
            <w:tcW w:w="1026"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8"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601"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74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noWrap w:val="0"/>
            <w:vAlign w:val="center"/>
          </w:tcPr>
          <w:p>
            <w:pPr>
              <w:spacing w:line="360" w:lineRule="exact"/>
              <w:rPr>
                <w:rFonts w:hint="default" w:ascii="Times New Roman" w:hAnsi="Times New Roman" w:eastAsia="仿宋_GB2312" w:cs="Times New Roman"/>
                <w:b/>
                <w:color w:val="auto"/>
                <w:szCs w:val="21"/>
              </w:rPr>
            </w:pPr>
          </w:p>
        </w:tc>
        <w:tc>
          <w:tcPr>
            <w:tcW w:w="1026"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8"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601"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74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noWrap w:val="0"/>
            <w:vAlign w:val="center"/>
          </w:tcPr>
          <w:p>
            <w:pPr>
              <w:spacing w:line="360" w:lineRule="exact"/>
              <w:rPr>
                <w:rFonts w:hint="default" w:ascii="Times New Roman" w:hAnsi="Times New Roman" w:eastAsia="仿宋_GB2312" w:cs="Times New Roman"/>
                <w:b/>
                <w:color w:val="auto"/>
                <w:szCs w:val="21"/>
              </w:rPr>
            </w:pPr>
          </w:p>
        </w:tc>
        <w:tc>
          <w:tcPr>
            <w:tcW w:w="1026"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8"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601"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74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bl>
    <w:p>
      <w:pPr>
        <w:pStyle w:val="2"/>
      </w:pPr>
    </w:p>
    <w:p>
      <w:pPr>
        <w:pStyle w:val="2"/>
      </w:pPr>
    </w:p>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黑体" w:cs="Times New Roman"/>
          <w:b/>
          <w:bCs/>
          <w:color w:val="auto"/>
          <w:sz w:val="32"/>
          <w:szCs w:val="32"/>
        </w:rPr>
      </w:pPr>
    </w:p>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黑体" w:cs="Times New Roman"/>
          <w:b/>
          <w:bCs/>
          <w:color w:val="auto"/>
          <w:sz w:val="32"/>
          <w:szCs w:val="32"/>
        </w:rPr>
      </w:pPr>
    </w:p>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附</w:t>
      </w:r>
      <w:r>
        <w:rPr>
          <w:rFonts w:hint="default" w:ascii="Times New Roman" w:hAnsi="Times New Roman" w:eastAsia="黑体" w:cs="Times New Roman"/>
          <w:b/>
          <w:bCs/>
          <w:color w:val="auto"/>
          <w:sz w:val="32"/>
          <w:szCs w:val="32"/>
          <w:lang w:eastAsia="zh-CN"/>
        </w:rPr>
        <w:t>件</w:t>
      </w:r>
      <w:r>
        <w:rPr>
          <w:rFonts w:hint="default" w:ascii="Times New Roman" w:hAnsi="Times New Roman" w:eastAsia="黑体" w:cs="Times New Roman"/>
          <w:b/>
          <w:bCs/>
          <w:color w:val="auto"/>
          <w:sz w:val="32"/>
          <w:szCs w:val="32"/>
        </w:rPr>
        <w:t>3</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方正小标宋简体" w:cs="Times New Roman"/>
          <w:b/>
          <w:bCs/>
          <w:color w:val="auto"/>
          <w:sz w:val="32"/>
          <w:szCs w:val="32"/>
          <w:lang w:eastAsia="zh-CN"/>
        </w:rPr>
      </w:pPr>
      <w:r>
        <w:rPr>
          <w:rFonts w:hint="eastAsia" w:ascii="Times New Roman" w:hAnsi="Times New Roman" w:eastAsia="方正小标宋简体" w:cs="Times New Roman"/>
          <w:b/>
          <w:bCs/>
          <w:color w:val="auto"/>
          <w:sz w:val="32"/>
          <w:szCs w:val="32"/>
          <w:lang w:eastAsia="zh-CN"/>
        </w:rPr>
        <w:t>四川省南充精神卫生中心</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小标宋简体" w:cs="Times New Roman"/>
          <w:b/>
          <w:bCs/>
          <w:color w:val="auto"/>
          <w:sz w:val="32"/>
          <w:szCs w:val="32"/>
        </w:rPr>
      </w:pPr>
      <w:r>
        <w:rPr>
          <w:rFonts w:hint="default" w:ascii="Times New Roman" w:hAnsi="Times New Roman" w:eastAsia="方正小标宋简体" w:cs="Times New Roman"/>
          <w:b/>
          <w:bCs/>
          <w:color w:val="auto"/>
          <w:sz w:val="32"/>
          <w:szCs w:val="32"/>
        </w:rPr>
        <w:t>202</w:t>
      </w:r>
      <w:r>
        <w:rPr>
          <w:rFonts w:hint="default" w:ascii="Times New Roman" w:hAnsi="Times New Roman" w:eastAsia="方正小标宋简体" w:cs="Times New Roman"/>
          <w:b/>
          <w:bCs/>
          <w:color w:val="auto"/>
          <w:sz w:val="32"/>
          <w:szCs w:val="32"/>
          <w:lang w:val="en-US" w:eastAsia="zh-CN"/>
        </w:rPr>
        <w:t>2</w:t>
      </w:r>
      <w:r>
        <w:rPr>
          <w:rFonts w:hint="default" w:ascii="Times New Roman" w:hAnsi="Times New Roman" w:eastAsia="方正小标宋简体" w:cs="Times New Roman"/>
          <w:b/>
          <w:bCs/>
          <w:color w:val="auto"/>
          <w:sz w:val="32"/>
          <w:szCs w:val="32"/>
        </w:rPr>
        <w:t>年“嘉陵江英才工程”公开引进高层次人才</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小标宋简体" w:cs="Times New Roman"/>
          <w:b/>
          <w:bCs/>
          <w:color w:val="auto"/>
          <w:sz w:val="32"/>
          <w:szCs w:val="32"/>
        </w:rPr>
        <w:t>考生新冠肺炎疫情防控告知暨承诺书</w:t>
      </w:r>
    </w:p>
    <w:p>
      <w:pPr>
        <w:keepNext w:val="0"/>
        <w:keepLines w:val="0"/>
        <w:pageBreakBefore w:val="0"/>
        <w:widowControl w:val="0"/>
        <w:kinsoku/>
        <w:wordWrap/>
        <w:overflowPunct/>
        <w:topLinePunct w:val="0"/>
        <w:autoSpaceDE/>
        <w:autoSpaceDN/>
        <w:bidi w:val="0"/>
        <w:adjustRightInd w:val="0"/>
        <w:snapToGrid w:val="0"/>
        <w:spacing w:line="340" w:lineRule="exact"/>
        <w:ind w:firstLine="642" w:firstLineChars="200"/>
        <w:textAlignment w:val="auto"/>
        <w:rPr>
          <w:rFonts w:hint="default" w:ascii="Times New Roman" w:hAnsi="Times New Roman" w:eastAsia="方正仿宋简体"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一</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请广大考生务必做好自我健康管理，通过微信小程序“国家政务服务平台”及“四川天府健康通”申领本人防疫健康码，并于考前15天起持续关注健康码状态。</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二</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考生赴考时如乘坐公共交通工具，需要全程规范佩戴口罩，保持安全社交距离，做好手部卫生。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三</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请考生提前准备好当天本人防疫健康码（绿码）和通信大数据行程卡（绿码）、面试通知书、有效身份证件以及核酸检测阴性报告证明（纸质、电子版均可，下同），并配合工作人员做好入场扫码和体温检测准备。</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四</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所有考生需持本人资格审查和考试前48小时内川内有资质的检测服务机构出具的核酸检测阴性报告证明，方可参加资格审查和考试。核酸检测报告时间以出具时间为准，非采样时间或报告打印时间。请考生提前做好采样准备，经查验检测结果、结果出具时间等不符合规定的考生，不得参加资格审查和考试。</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五</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资格审查和考试前14天内有中高风险地区所在地市其他县（市、区、旗）和中高风险地区所在直辖市的县（区）其他乡镇（街道）旅居史、有本土感染者但未划定中高风险地区的县（市、区、旗）及不设区的地级市旅居史的考生，需提供资格审查和考试前3天内2次（采样时间间隔24小时，最后一次采样须在川内有资质的检测服务机构进行）核酸检测阴性证明。</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六</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经现场测量体温正常（＜37.3℃）且无咳嗽等呼吸道异常症状者方可进入考点；经现场确认有体温异常或呼吸道异常症状者，不再参加此次考试，应配合到定点收治医院发热门诊就诊。</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七</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有以下情况之一者，不得参加本次考试：</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（1）健康码或行程卡为“红码”或“黄码”的考生；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（2）经现场确认有体温异常（≥37.3℃）或呼吸道异常症状的考生；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（3）考试前21天内有国（境）外旅居史，尚未完成隔离医学观察等健康管理的考生；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（4）新冠肺炎确诊病例、疑似病例和无症状感染者的密切接触者或次密接者，尚未完成隔离医学观察等健康管理的考生；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5）考前14天内有中高风险地区旅居史、7天内有中高风险地区所在乡镇（街道）旅居史、7天内有中高风险地区所在县（市、区、旗）其他乡镇（街道）旅居史（不含直辖市），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（6）未按要求提供相应核酸检测阴性报告证明及其他有关证明的考生。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八</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lang w:val="en-US" w:eastAsia="zh-CN"/>
        </w:rPr>
        <w:t>九</w:t>
      </w:r>
      <w:r>
        <w:rPr>
          <w:rFonts w:hint="eastAsia" w:ascii="Times New Roman" w:hAnsi="Times New Roman" w:eastAsia="仿宋" w:cs="Times New Roman"/>
          <w:b/>
          <w:bCs/>
          <w:color w:val="auto"/>
          <w:sz w:val="24"/>
          <w:szCs w:val="24"/>
          <w:lang w:val="en-US" w:eastAsia="zh-CN"/>
        </w:rPr>
        <w:t>、</w:t>
      </w:r>
      <w:r>
        <w:rPr>
          <w:rFonts w:hint="default" w:ascii="Times New Roman" w:hAnsi="Times New Roman" w:eastAsia="仿宋" w:cs="Times New Roman"/>
          <w:b/>
          <w:bCs/>
          <w:color w:val="auto"/>
          <w:sz w:val="24"/>
          <w:szCs w:val="24"/>
          <w:lang w:val="en-US" w:eastAsia="zh-CN"/>
        </w:rPr>
        <w:t>其他疫情防控要求，按南充当地疫情防控部门规定执行。鉴于近期国内疫情多点散发，考试疫情防控相关规定将根据国家和我省疫情防控的总体部署和最新要求进行动态调整。请考生密切关注四川省和南充市的最新防疫要求，并严格按相关规定执行。</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rPr>
      </w:pPr>
      <w:r>
        <w:rPr>
          <w:rFonts w:hint="eastAsia" w:ascii="Times New Roman" w:hAnsi="Times New Roman" w:eastAsia="仿宋" w:cs="Times New Roman"/>
          <w:b/>
          <w:bCs/>
          <w:color w:val="auto"/>
          <w:sz w:val="24"/>
          <w:szCs w:val="24"/>
          <w:lang w:eastAsia="zh-CN"/>
        </w:rPr>
        <w:t>十</w:t>
      </w:r>
      <w:r>
        <w:rPr>
          <w:rFonts w:hint="default" w:ascii="Times New Roman" w:hAnsi="Times New Roman" w:eastAsia="仿宋" w:cs="Times New Roman"/>
          <w:b/>
          <w:bCs/>
          <w:color w:val="auto"/>
          <w:sz w:val="24"/>
          <w:szCs w:val="24"/>
        </w:rPr>
        <w:t>、考生在领取考试通知书前须签署《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考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Times New Roman"/>
          <w:b/>
          <w:bCs/>
          <w:color w:val="auto"/>
          <w:sz w:val="24"/>
          <w:szCs w:val="24"/>
          <w:lang w:eastAsia="zh-CN"/>
        </w:rPr>
      </w:pPr>
      <w:r>
        <w:rPr>
          <w:rFonts w:hint="default" w:ascii="Times New Roman" w:hAnsi="Times New Roman" w:eastAsia="仿宋" w:cs="Times New Roman"/>
          <w:b/>
          <w:bCs/>
          <w:color w:val="auto"/>
          <w:sz w:val="24"/>
          <w:szCs w:val="24"/>
        </w:rPr>
        <w:t xml:space="preserve">                                  </w:t>
      </w:r>
      <w:r>
        <w:rPr>
          <w:rFonts w:hint="eastAsia" w:ascii="Times New Roman" w:hAnsi="Times New Roman" w:eastAsia="仿宋" w:cs="Times New Roman"/>
          <w:b/>
          <w:bCs/>
          <w:color w:val="auto"/>
          <w:sz w:val="24"/>
          <w:szCs w:val="24"/>
          <w:lang w:eastAsia="zh-CN"/>
        </w:rPr>
        <w:t>四川省南充精神卫生中心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本人已认真阅读《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spacing w:line="340" w:lineRule="exact"/>
        <w:ind w:firstLine="481" w:firstLineChars="200"/>
        <w:textAlignment w:val="auto"/>
        <w:rPr>
          <w:rFonts w:hint="default" w:ascii="Times New Roman" w:hAnsi="Times New Roman" w:eastAsia="仿宋"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481" w:firstLineChars="20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 xml:space="preserve">                承诺人（签字）：</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481" w:firstLineChars="200"/>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 xml:space="preserve">                                              202</w:t>
      </w:r>
      <w:r>
        <w:rPr>
          <w:rFonts w:hint="default" w:ascii="Times New Roman" w:hAnsi="Times New Roman" w:eastAsia="仿宋" w:cs="Times New Roman"/>
          <w:b/>
          <w:bCs/>
          <w:color w:val="auto"/>
          <w:sz w:val="24"/>
          <w:szCs w:val="24"/>
          <w:lang w:val="en-US" w:eastAsia="zh-CN"/>
        </w:rPr>
        <w:t>2</w:t>
      </w:r>
      <w:r>
        <w:rPr>
          <w:rFonts w:hint="default" w:ascii="Times New Roman" w:hAnsi="Times New Roman" w:eastAsia="仿宋" w:cs="Times New Roman"/>
          <w:b/>
          <w:bCs/>
          <w:color w:val="auto"/>
          <w:sz w:val="24"/>
          <w:szCs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00"/>
    <w:family w:val="auto"/>
    <w:pitch w:val="default"/>
    <w:sig w:usb0="00000000" w:usb1="00000000" w:usb2="00000010" w:usb3="00000000" w:csb0="00040000" w:csb1="00000000"/>
  </w:font>
  <w:font w:name="方正仿宋简体">
    <w:altName w:val="方正仿宋_GBK"/>
    <w:panose1 w:val="02010601030101010101"/>
    <w:charset w:val="00"/>
    <w:family w:val="auto"/>
    <w:pitch w:val="default"/>
    <w:sig w:usb0="00000000" w:usb1="00000000" w:usb2="00000010" w:usb3="00000000" w:csb0="00040000" w:csb1="00000000"/>
  </w:font>
  <w:font w:name="仿宋_GB2312">
    <w:altName w:val="宋体"/>
    <w:panose1 w:val="02010609030101010101"/>
    <w:charset w:val="00"/>
    <w:family w:val="auto"/>
    <w:pitch w:val="default"/>
    <w:sig w:usb0="00000000" w:usb1="00000000" w:usb2="00000000" w:usb3="00000000" w:csb0="00040000" w:csb1="00000000"/>
  </w:font>
  <w:font w:name="仿宋">
    <w:altName w:val="宋体"/>
    <w:panose1 w:val="02010609060101010101"/>
    <w:charset w:val="00"/>
    <w:family w:val="auto"/>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楷体_GB2312">
    <w:altName w:val="宋体"/>
    <w:panose1 w:val="02010609030101010101"/>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6FD4819"/>
    <w:rsid w:val="B6FD4819"/>
    <w:rsid w:val="FCEF8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Cs w:val="32"/>
      <w:lang w:val="zh-CN" w:bidi="zh-CN"/>
    </w:rPr>
  </w:style>
  <w:style w:type="paragraph" w:styleId="3">
    <w:name w:val="footer"/>
    <w:basedOn w:val="1"/>
    <w:next w:val="1"/>
    <w:unhideWhenUsed/>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2022-03-18T19:53:00Z</dcterms:created>
  <dc:creator>user</dc:creator>
  <cp:lastModifiedBy>user</cp:lastModifiedBy>
  <dcterms:modified xsi:type="dcterms:W3CDTF">2022-03-18T15:16:58Z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