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黑体" w:hAnsi="黑体" w:eastAsia="黑体"/>
          <w:kern w:val="2"/>
          <w:szCs w:val="32"/>
        </w:rPr>
      </w:pPr>
      <w:r>
        <w:rPr>
          <w:rFonts w:hint="eastAsia" w:ascii="黑体" w:hAnsi="黑体" w:eastAsia="黑体"/>
          <w:kern w:val="2"/>
          <w:szCs w:val="32"/>
        </w:rPr>
        <w:t>附件2</w:t>
      </w:r>
    </w:p>
    <w:p>
      <w:pPr>
        <w:widowControl w:val="0"/>
        <w:jc w:val="both"/>
        <w:rPr>
          <w:rFonts w:ascii="方正小标宋简体" w:hAnsi="宋体" w:eastAsia="方正小标宋简体" w:cs="宋体"/>
          <w:sz w:val="44"/>
          <w:szCs w:val="44"/>
        </w:rPr>
      </w:pPr>
    </w:p>
    <w:p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事业单位公开招聘工作人员考试（笔试）大纲</w:t>
      </w:r>
    </w:p>
    <w:p>
      <w:pPr>
        <w:widowControl w:val="0"/>
        <w:spacing w:line="600" w:lineRule="exact"/>
        <w:ind w:firstLine="642" w:firstLineChars="200"/>
        <w:jc w:val="center"/>
        <w:rPr>
          <w:rFonts w:ascii="黑体" w:hAnsi="黑体" w:eastAsia="黑体" w:cs="黑体"/>
          <w:b/>
          <w:szCs w:val="32"/>
        </w:rPr>
      </w:pPr>
    </w:p>
    <w:p>
      <w:pPr>
        <w:widowControl w:val="0"/>
        <w:spacing w:line="600" w:lineRule="exact"/>
        <w:ind w:firstLine="722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《职业能力倾向测验》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第一部分：数量关系。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数据的分析、运算，解决数量关系的能力。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第二部分：言语理解与表达。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一、字、词准确含义的掌握与运用能力。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二、各类语句的准确表达方式的掌握与运用能力。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三、短文材料的概括能力，细节的理解与分析判断能力。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第三部分：判断推理。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一、二维图形和空间关系准确识别及推理的能力。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二、概念和标准的分析、判断能力。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三、推理、演绎、归纳等逻辑思维的综合运用能力。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第四部分：常识判断。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社会、历史、文学、天文、地理、军事等方面的基本知识及其运用能力。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第五部分：资料分析。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文字、图形、表格等资料的综合理解和分析加工能力。</w:t>
      </w:r>
    </w:p>
    <w:p>
      <w:pPr>
        <w:widowControl w:val="0"/>
        <w:spacing w:line="600" w:lineRule="exact"/>
        <w:rPr>
          <w:rFonts w:hint="eastAsia"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hint="eastAsia"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hint="eastAsia"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hint="eastAsia" w:ascii="仿宋_GB2312" w:hAnsi="仿宋_GB2312" w:cs="仿宋_GB2312"/>
          <w:szCs w:val="32"/>
        </w:rPr>
      </w:pPr>
    </w:p>
    <w:p>
      <w:pPr>
        <w:widowControl w:val="0"/>
        <w:spacing w:line="60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《公共基础知识》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第一部分：法律基础。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法的一般原理、法的制定与实施。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二、宪法性法律、行政法、民法、刑法、社会法、经济法等的基本概念和基本原则。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三、宪法性法律、行政法、民法、刑法、社会法、经济法等的法律关系、法律行为和适用范围等。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四、常见犯罪种类、特点与刑罚种类、裁量。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五、合同的订立、生效、履行、变更、终止和解除。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第二部分：中国特色社会主义理论。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第三部分：马克思主义哲学。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FF0000"/>
          <w:szCs w:val="32"/>
        </w:rPr>
      </w:pPr>
      <w:r>
        <w:rPr>
          <w:rFonts w:hint="eastAsia" w:ascii="仿宋_GB2312" w:hAnsi="仿宋_GB2312" w:cs="仿宋_GB2312"/>
          <w:szCs w:val="32"/>
        </w:rPr>
        <w:t>马克思主义哲学的主要内容及基本观点。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第四部分：应用文写作。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应用文含义、特点、种类、作用、格式规范。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二、法定公文的分类、构成要素、写作要求以及常用公文的撰写。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三、公文处理的概念、基本任务、基本原则，收文、发文处理的程序和方法，办毕公文的处置。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第五部分：经济与管理。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经济学的基本常识、基础理论及运用。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二、</w:t>
      </w:r>
      <w:r>
        <w:rPr>
          <w:rFonts w:hint="eastAsia" w:ascii="仿宋_GB2312" w:hAnsi="仿宋_GB2312" w:cs="仿宋_GB2312"/>
          <w:szCs w:val="32"/>
        </w:rPr>
        <w:t>管理学的基本常识、基础理论及运用。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第六部分：公民道德建设。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一、公民道德建设的指导思想、方针原则及主要内容。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二、社会主义核心价值观的概念、内涵及基本原则。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第七部分：科技基础知识。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信息科学、生物技术、能源科学、空间技术、农业高科技等新技术的基本特点、作用及发展趋势。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第八部分：省情市情。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四川省和成都市的历史文化、人口与民族、区域经济、地理位置、地形地貌、气候特点。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第九部分：时事政治。</w:t>
      </w:r>
    </w:p>
    <w:p>
      <w:pPr>
        <w:widowControl w:val="0"/>
        <w:spacing w:line="600" w:lineRule="exact"/>
        <w:ind w:firstLine="64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一年来国际、国内发生的重大事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件。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二、国家、四川省、成都市近期出台的重大决策。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5"/>
    <w:rsid w:val="00116465"/>
    <w:rsid w:val="0021773F"/>
    <w:rsid w:val="00C95FF5"/>
    <w:rsid w:val="EFE7B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170</Words>
  <Characters>969</Characters>
  <Lines>8</Lines>
  <Paragraphs>2</Paragraphs>
  <TotalTime>3</TotalTime>
  <ScaleCrop>false</ScaleCrop>
  <LinksUpToDate>false</LinksUpToDate>
  <CharactersWithSpaces>1137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2021-05-11T10:55:00Z</dcterms:created>
  <dc:creator>人事处:高勇涛</dc:creator>
  <cp:lastModifiedBy>uos</cp:lastModifiedBy>
  <dcterms:modified xsi:type="dcterms:W3CDTF">2022-03-15T10:17:28Z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